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59" w:rsidRPr="0069606E" w:rsidRDefault="00AD33C9">
      <w:pPr>
        <w:rPr>
          <w:b/>
          <w:sz w:val="28"/>
          <w:szCs w:val="28"/>
        </w:rPr>
      </w:pPr>
      <w:r w:rsidRPr="0069606E">
        <w:rPr>
          <w:b/>
          <w:sz w:val="28"/>
          <w:szCs w:val="28"/>
        </w:rPr>
        <w:t>Toelichting bij RGS 1.1</w:t>
      </w:r>
      <w:r w:rsidR="0078081A">
        <w:rPr>
          <w:b/>
          <w:sz w:val="28"/>
          <w:szCs w:val="28"/>
        </w:rPr>
        <w:t xml:space="preserve"> en de wijzigingen t.o.v. RGS 1.0</w:t>
      </w:r>
    </w:p>
    <w:p w:rsidR="0069606E" w:rsidRPr="0069606E" w:rsidRDefault="0069606E">
      <w:pPr>
        <w:rPr>
          <w:b/>
        </w:rPr>
      </w:pPr>
      <w:r w:rsidRPr="0069606E">
        <w:rPr>
          <w:b/>
        </w:rPr>
        <w:t>Inleiding</w:t>
      </w:r>
    </w:p>
    <w:p w:rsidR="008B6154" w:rsidRDefault="00AD33C9">
      <w:r>
        <w:t>Ten opzichte van RGS 1.0 zijn een aantal wijzigingen doorgevoerd die enerzijds betrekking hebben op de systematiek van RGS en anderzijds gebaseerd zijn op de tientallen reacties die wij hebben ontvangen. Allereerst zal in dit document wo</w:t>
      </w:r>
      <w:r w:rsidR="008B6154">
        <w:t>rden ingegaan op de structuur van RGS en de aanpassingen die daar voor zijn verricht. Vervolgens zal worden ingegaan op het referentienummer.</w:t>
      </w:r>
      <w:r w:rsidR="00075FDA">
        <w:br/>
        <w:t>Daarbij zal ook kort nog even op het gebruik van extensies worden ingegaan.</w:t>
      </w:r>
      <w:r w:rsidR="008B6154">
        <w:br/>
        <w:t>Tenslotte zullen de andere wijzigingen worden besproken en zal een korte toelichting worden gegeven op het wijzigingsdocument. Zowel RGS 1.1 als de wijzigingen zijn opgenomen in RGS 1.1.xlsx.</w:t>
      </w:r>
    </w:p>
    <w:p w:rsidR="008B6154" w:rsidRPr="008B6154" w:rsidRDefault="008B6154">
      <w:pPr>
        <w:rPr>
          <w:b/>
        </w:rPr>
      </w:pPr>
      <w:r w:rsidRPr="008B6154">
        <w:rPr>
          <w:b/>
        </w:rPr>
        <w:t>De structuur van RGS</w:t>
      </w:r>
    </w:p>
    <w:p w:rsidR="00AD33C9" w:rsidRDefault="00AD33C9">
      <w:r>
        <w:t xml:space="preserve">RGS bestaat uit vier </w:t>
      </w:r>
      <w:proofErr w:type="spellStart"/>
      <w:r>
        <w:t>niveau’s</w:t>
      </w:r>
      <w:proofErr w:type="spellEnd"/>
      <w:r>
        <w:t xml:space="preserve">: hoofdrubriek, rubriek, grootboekrekening en mutatie. In RGS </w:t>
      </w:r>
      <w:r w:rsidR="008B6154">
        <w:t xml:space="preserve">1.0 </w:t>
      </w:r>
      <w:r>
        <w:t xml:space="preserve">werd uitgegaan van de minimumsituatie </w:t>
      </w:r>
      <w:r w:rsidR="00506EF0">
        <w:t>waarbij</w:t>
      </w:r>
      <w:r>
        <w:t xml:space="preserve"> op alle </w:t>
      </w:r>
      <w:proofErr w:type="spellStart"/>
      <w:r>
        <w:t>niveau’s</w:t>
      </w:r>
      <w:proofErr w:type="spellEnd"/>
      <w:r>
        <w:t xml:space="preserve"> kon worden geboekt. Zo </w:t>
      </w:r>
      <w:r w:rsidR="008B6154">
        <w:t>werd ervan uitgegaan dat de beginbalans van de aanschafwaarde was geboekt op:</w:t>
      </w:r>
    </w:p>
    <w:tbl>
      <w:tblPr>
        <w:tblW w:w="11820" w:type="dxa"/>
        <w:tblCellMar>
          <w:left w:w="70" w:type="dxa"/>
          <w:right w:w="70" w:type="dxa"/>
        </w:tblCellMar>
        <w:tblLook w:val="04A0" w:firstRow="1" w:lastRow="0" w:firstColumn="1" w:lastColumn="0" w:noHBand="0" w:noVBand="1"/>
      </w:tblPr>
      <w:tblGrid>
        <w:gridCol w:w="2140"/>
        <w:gridCol w:w="2500"/>
        <w:gridCol w:w="7180"/>
      </w:tblGrid>
      <w:tr w:rsidR="008B6154" w:rsidRPr="008B6154" w:rsidTr="008B6154">
        <w:trPr>
          <w:trHeight w:val="300"/>
        </w:trPr>
        <w:tc>
          <w:tcPr>
            <w:tcW w:w="2140" w:type="dxa"/>
            <w:tcBorders>
              <w:top w:val="nil"/>
              <w:left w:val="nil"/>
              <w:bottom w:val="nil"/>
              <w:right w:val="nil"/>
            </w:tcBorders>
            <w:shd w:val="clear" w:color="000000" w:fill="C6EFCE"/>
            <w:noWrap/>
            <w:vAlign w:val="bottom"/>
            <w:hideMark/>
          </w:tcPr>
          <w:p w:rsidR="008B6154" w:rsidRPr="008B6154" w:rsidRDefault="008B6154" w:rsidP="008B6154">
            <w:pPr>
              <w:spacing w:after="0" w:line="240" w:lineRule="auto"/>
              <w:rPr>
                <w:rFonts w:ascii="Calibri" w:eastAsia="Times New Roman" w:hAnsi="Calibri" w:cs="Times New Roman"/>
                <w:color w:val="006100"/>
                <w:lang w:eastAsia="nl-NL"/>
              </w:rPr>
            </w:pPr>
            <w:proofErr w:type="spellStart"/>
            <w:r w:rsidRPr="008B6154">
              <w:rPr>
                <w:rFonts w:ascii="Calibri" w:eastAsia="Times New Roman" w:hAnsi="Calibri" w:cs="Times New Roman"/>
                <w:color w:val="006100"/>
                <w:lang w:eastAsia="nl-NL"/>
              </w:rPr>
              <w:t>BMvaBegVvp</w:t>
            </w:r>
            <w:proofErr w:type="spellEnd"/>
          </w:p>
        </w:tc>
        <w:tc>
          <w:tcPr>
            <w:tcW w:w="2500" w:type="dxa"/>
            <w:tcBorders>
              <w:top w:val="nil"/>
              <w:left w:val="nil"/>
              <w:bottom w:val="nil"/>
              <w:right w:val="nil"/>
            </w:tcBorders>
            <w:shd w:val="clear" w:color="000000" w:fill="C6EFCE"/>
            <w:noWrap/>
            <w:vAlign w:val="bottom"/>
            <w:hideMark/>
          </w:tcPr>
          <w:p w:rsidR="008B6154" w:rsidRPr="008B6154" w:rsidRDefault="008B6154" w:rsidP="008B6154">
            <w:pPr>
              <w:spacing w:after="0" w:line="240" w:lineRule="auto"/>
              <w:rPr>
                <w:rFonts w:ascii="Calibri" w:eastAsia="Times New Roman" w:hAnsi="Calibri" w:cs="Times New Roman"/>
                <w:color w:val="006100"/>
                <w:lang w:eastAsia="nl-NL"/>
              </w:rPr>
            </w:pPr>
            <w:r w:rsidRPr="008B6154">
              <w:rPr>
                <w:rFonts w:ascii="Calibri" w:eastAsia="Times New Roman" w:hAnsi="Calibri" w:cs="Times New Roman"/>
                <w:color w:val="006100"/>
                <w:lang w:eastAsia="nl-NL"/>
              </w:rPr>
              <w:t>020201000</w:t>
            </w:r>
          </w:p>
        </w:tc>
        <w:tc>
          <w:tcPr>
            <w:tcW w:w="7180" w:type="dxa"/>
            <w:tcBorders>
              <w:top w:val="nil"/>
              <w:left w:val="nil"/>
              <w:bottom w:val="nil"/>
              <w:right w:val="nil"/>
            </w:tcBorders>
            <w:shd w:val="clear" w:color="000000" w:fill="C6EFCE"/>
            <w:noWrap/>
            <w:vAlign w:val="bottom"/>
            <w:hideMark/>
          </w:tcPr>
          <w:p w:rsidR="008B6154" w:rsidRPr="008B6154" w:rsidRDefault="008B6154" w:rsidP="008B6154">
            <w:pPr>
              <w:spacing w:after="0" w:line="240" w:lineRule="auto"/>
              <w:rPr>
                <w:rFonts w:ascii="Calibri" w:eastAsia="Times New Roman" w:hAnsi="Calibri" w:cs="Times New Roman"/>
                <w:color w:val="006100"/>
                <w:lang w:eastAsia="nl-NL"/>
              </w:rPr>
            </w:pPr>
            <w:r w:rsidRPr="008B6154">
              <w:rPr>
                <w:rFonts w:ascii="Calibri" w:eastAsia="Times New Roman" w:hAnsi="Calibri" w:cs="Times New Roman"/>
                <w:color w:val="006100"/>
                <w:lang w:eastAsia="nl-NL"/>
              </w:rPr>
              <w:t>Verkrijgings- of vervaardigingsprijs bedrijfsgebouwen</w:t>
            </w:r>
          </w:p>
        </w:tc>
      </w:tr>
    </w:tbl>
    <w:p w:rsidR="00506EF0" w:rsidRDefault="00506EF0">
      <w:r>
        <w:t xml:space="preserve"> en eventuele mutaties op:</w:t>
      </w:r>
    </w:p>
    <w:tbl>
      <w:tblPr>
        <w:tblW w:w="21640" w:type="dxa"/>
        <w:tblCellMar>
          <w:left w:w="70" w:type="dxa"/>
          <w:right w:w="70" w:type="dxa"/>
        </w:tblCellMar>
        <w:tblLook w:val="04A0" w:firstRow="1" w:lastRow="0" w:firstColumn="1" w:lastColumn="0" w:noHBand="0" w:noVBand="1"/>
      </w:tblPr>
      <w:tblGrid>
        <w:gridCol w:w="11960"/>
        <w:gridCol w:w="2500"/>
        <w:gridCol w:w="7180"/>
      </w:tblGrid>
      <w:tr w:rsidR="00506EF0" w:rsidRPr="00506EF0" w:rsidTr="00D83600">
        <w:trPr>
          <w:trHeight w:val="300"/>
        </w:trPr>
        <w:tc>
          <w:tcPr>
            <w:tcW w:w="11960" w:type="dxa"/>
            <w:tcBorders>
              <w:top w:val="nil"/>
              <w:left w:val="nil"/>
              <w:bottom w:val="nil"/>
              <w:right w:val="nil"/>
            </w:tcBorders>
            <w:shd w:val="clear" w:color="auto" w:fill="auto"/>
            <w:noWrap/>
            <w:vAlign w:val="bottom"/>
          </w:tcPr>
          <w:tbl>
            <w:tblPr>
              <w:tblW w:w="11820" w:type="dxa"/>
              <w:tblCellMar>
                <w:left w:w="70" w:type="dxa"/>
                <w:right w:w="70" w:type="dxa"/>
              </w:tblCellMar>
              <w:tblLook w:val="04A0" w:firstRow="1" w:lastRow="0" w:firstColumn="1" w:lastColumn="0" w:noHBand="0" w:noVBand="1"/>
            </w:tblPr>
            <w:tblGrid>
              <w:gridCol w:w="2140"/>
              <w:gridCol w:w="2500"/>
              <w:gridCol w:w="7180"/>
            </w:tblGrid>
            <w:tr w:rsidR="00D83600" w:rsidRPr="00D83600" w:rsidTr="00D83600">
              <w:trPr>
                <w:trHeight w:val="300"/>
              </w:trPr>
              <w:tc>
                <w:tcPr>
                  <w:tcW w:w="214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proofErr w:type="spellStart"/>
                  <w:r w:rsidRPr="00D83600">
                    <w:rPr>
                      <w:rFonts w:ascii="Calibri" w:eastAsia="Times New Roman" w:hAnsi="Calibri" w:cs="Times New Roman"/>
                      <w:color w:val="000000"/>
                      <w:lang w:eastAsia="nl-NL"/>
                    </w:rPr>
                    <w:t>BMvaBegVvpIna</w:t>
                  </w:r>
                  <w:proofErr w:type="spellEnd"/>
                </w:p>
              </w:tc>
              <w:tc>
                <w:tcPr>
                  <w:tcW w:w="250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r w:rsidRPr="00D83600">
                    <w:rPr>
                      <w:rFonts w:ascii="Calibri" w:eastAsia="Times New Roman" w:hAnsi="Calibri" w:cs="Times New Roman"/>
                      <w:color w:val="000000"/>
                      <w:lang w:eastAsia="nl-NL"/>
                    </w:rPr>
                    <w:t>020201010</w:t>
                  </w:r>
                </w:p>
              </w:tc>
              <w:tc>
                <w:tcPr>
                  <w:tcW w:w="718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r w:rsidRPr="00D83600">
                    <w:rPr>
                      <w:rFonts w:ascii="Calibri" w:eastAsia="Times New Roman" w:hAnsi="Calibri" w:cs="Times New Roman"/>
                      <w:color w:val="000000"/>
                      <w:lang w:eastAsia="nl-NL"/>
                    </w:rPr>
                    <w:t>Investeringen nieuw aangeschaft bedrijfsgebouwen</w:t>
                  </w:r>
                </w:p>
              </w:tc>
            </w:tr>
            <w:tr w:rsidR="00D83600" w:rsidRPr="00D83600" w:rsidTr="00D83600">
              <w:trPr>
                <w:trHeight w:val="300"/>
              </w:trPr>
              <w:tc>
                <w:tcPr>
                  <w:tcW w:w="214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proofErr w:type="spellStart"/>
                  <w:r w:rsidRPr="00D83600">
                    <w:rPr>
                      <w:rFonts w:ascii="Calibri" w:eastAsia="Times New Roman" w:hAnsi="Calibri" w:cs="Times New Roman"/>
                      <w:color w:val="000000"/>
                      <w:lang w:eastAsia="nl-NL"/>
                    </w:rPr>
                    <w:t>BMvaBegVvpIta</w:t>
                  </w:r>
                  <w:proofErr w:type="spellEnd"/>
                </w:p>
              </w:tc>
              <w:tc>
                <w:tcPr>
                  <w:tcW w:w="250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r w:rsidRPr="00D83600">
                    <w:rPr>
                      <w:rFonts w:ascii="Calibri" w:eastAsia="Times New Roman" w:hAnsi="Calibri" w:cs="Times New Roman"/>
                      <w:color w:val="000000"/>
                      <w:lang w:eastAsia="nl-NL"/>
                    </w:rPr>
                    <w:t>020201020</w:t>
                  </w:r>
                </w:p>
              </w:tc>
              <w:tc>
                <w:tcPr>
                  <w:tcW w:w="7180" w:type="dxa"/>
                  <w:tcBorders>
                    <w:top w:val="nil"/>
                    <w:left w:val="nil"/>
                    <w:bottom w:val="nil"/>
                    <w:right w:val="nil"/>
                  </w:tcBorders>
                  <w:shd w:val="clear" w:color="000000" w:fill="EDEDED"/>
                  <w:noWrap/>
                  <w:vAlign w:val="bottom"/>
                  <w:hideMark/>
                </w:tcPr>
                <w:p w:rsidR="00D83600" w:rsidRPr="00D83600" w:rsidRDefault="00D83600" w:rsidP="00D83600">
                  <w:pPr>
                    <w:spacing w:after="0" w:line="240" w:lineRule="auto"/>
                    <w:rPr>
                      <w:rFonts w:ascii="Calibri" w:eastAsia="Times New Roman" w:hAnsi="Calibri" w:cs="Times New Roman"/>
                      <w:color w:val="000000"/>
                      <w:lang w:eastAsia="nl-NL"/>
                    </w:rPr>
                  </w:pPr>
                  <w:r w:rsidRPr="00D83600">
                    <w:rPr>
                      <w:rFonts w:ascii="Calibri" w:eastAsia="Times New Roman" w:hAnsi="Calibri" w:cs="Times New Roman"/>
                      <w:color w:val="000000"/>
                      <w:lang w:eastAsia="nl-NL"/>
                    </w:rPr>
                    <w:t>Investeringen tweedehands aangeschaft bedrijfsgebouwen</w:t>
                  </w:r>
                </w:p>
              </w:tc>
            </w:tr>
          </w:tbl>
          <w:p w:rsidR="00506EF0" w:rsidRPr="00506EF0" w:rsidRDefault="00506EF0" w:rsidP="00506EF0">
            <w:pPr>
              <w:spacing w:after="0" w:line="240" w:lineRule="auto"/>
              <w:rPr>
                <w:rFonts w:ascii="Calibri" w:eastAsia="Times New Roman" w:hAnsi="Calibri" w:cs="Times New Roman"/>
                <w:color w:val="000000"/>
                <w:lang w:eastAsia="nl-NL"/>
              </w:rPr>
            </w:pPr>
          </w:p>
        </w:tc>
        <w:tc>
          <w:tcPr>
            <w:tcW w:w="2500" w:type="dxa"/>
            <w:tcBorders>
              <w:top w:val="nil"/>
              <w:left w:val="nil"/>
              <w:bottom w:val="nil"/>
              <w:right w:val="nil"/>
            </w:tcBorders>
            <w:shd w:val="clear" w:color="auto" w:fill="auto"/>
            <w:noWrap/>
            <w:vAlign w:val="bottom"/>
          </w:tcPr>
          <w:p w:rsidR="00506EF0" w:rsidRPr="00506EF0" w:rsidRDefault="00506EF0" w:rsidP="00506EF0">
            <w:pPr>
              <w:spacing w:after="0" w:line="240" w:lineRule="auto"/>
              <w:rPr>
                <w:rFonts w:ascii="Calibri" w:eastAsia="Times New Roman" w:hAnsi="Calibri" w:cs="Times New Roman"/>
                <w:color w:val="000000"/>
                <w:lang w:eastAsia="nl-NL"/>
              </w:rPr>
            </w:pPr>
          </w:p>
        </w:tc>
        <w:tc>
          <w:tcPr>
            <w:tcW w:w="7180" w:type="dxa"/>
            <w:tcBorders>
              <w:top w:val="nil"/>
              <w:left w:val="nil"/>
              <w:bottom w:val="nil"/>
              <w:right w:val="nil"/>
            </w:tcBorders>
            <w:shd w:val="clear" w:color="auto" w:fill="auto"/>
            <w:noWrap/>
            <w:vAlign w:val="bottom"/>
          </w:tcPr>
          <w:p w:rsidR="00506EF0" w:rsidRPr="00506EF0" w:rsidRDefault="00506EF0" w:rsidP="00506EF0">
            <w:pPr>
              <w:spacing w:after="0" w:line="240" w:lineRule="auto"/>
              <w:rPr>
                <w:rFonts w:ascii="Calibri" w:eastAsia="Times New Roman" w:hAnsi="Calibri" w:cs="Times New Roman"/>
                <w:color w:val="000000"/>
                <w:lang w:eastAsia="nl-NL"/>
              </w:rPr>
            </w:pPr>
          </w:p>
        </w:tc>
      </w:tr>
    </w:tbl>
    <w:p w:rsidR="00D83600" w:rsidRDefault="00D83600">
      <w:r>
        <w:t>etc.</w:t>
      </w:r>
    </w:p>
    <w:p w:rsidR="008B6154" w:rsidRDefault="00D83600">
      <w:r>
        <w:t>Zowel bij het boeken alsook bij het mappen kan dit problemen geven, want een hoger niveau kan niet tegelijkertijd een subtotaal zijn van onderliggende bouwstenen en ook nog zelf boekingen bevatten. Vandaar dat we die hybride benadering hebben omgezet naar een hiërarchische structuur.</w:t>
      </w:r>
    </w:p>
    <w:p w:rsidR="00224E25" w:rsidRDefault="00D83600">
      <w:r>
        <w:t xml:space="preserve">In beginsel kan er niet op hoofdrubrieken en rubrieken worden geboekt. Deze doen alleen dienst als structuurbouwstenen, die het subtotaal van de onderliggende bouwstenen bevatten. De gebruiker kan </w:t>
      </w:r>
      <w:r w:rsidRPr="00D83600">
        <w:rPr>
          <w:u w:val="single"/>
        </w:rPr>
        <w:t>per grootboekrekening</w:t>
      </w:r>
      <w:r>
        <w:t xml:space="preserve"> ervoor kiezen om te boeken op:</w:t>
      </w:r>
    </w:p>
    <w:p w:rsidR="00224E25" w:rsidRDefault="00224E25" w:rsidP="00224E25">
      <w:pPr>
        <w:pStyle w:val="Lijstalinea"/>
        <w:numPr>
          <w:ilvl w:val="0"/>
          <w:numId w:val="3"/>
        </w:numPr>
      </w:pPr>
      <w:r>
        <w:t>óf de grootboekrekening</w:t>
      </w:r>
    </w:p>
    <w:p w:rsidR="00224E25" w:rsidRDefault="00D83600" w:rsidP="00224E25">
      <w:pPr>
        <w:pStyle w:val="Lijstalinea"/>
        <w:numPr>
          <w:ilvl w:val="0"/>
          <w:numId w:val="3"/>
        </w:numPr>
      </w:pPr>
      <w:r>
        <w:t>óf de</w:t>
      </w:r>
      <w:r w:rsidR="00224E25">
        <w:t xml:space="preserve"> onderliggende mutaties</w:t>
      </w:r>
    </w:p>
    <w:p w:rsidR="00AD33C9" w:rsidRDefault="00D83600">
      <w:r>
        <w:t xml:space="preserve">In de boekingssoftware dient dus een mechanisme te worden ingebouwd, die boeking op beide (en grootboekrekening en onderliggende mutaties) niet toestaat. </w:t>
      </w:r>
      <w:r w:rsidR="00224E25">
        <w:t>Nogmaals: dit kan per grootboekrekening worden bepaald, dus men kan er voor kiezen alleen bij die grootboekrekeningen op mutatieniveau te boeken als die daadwerkelijk voor zullen komen. De mutaties komen alleen voor bij balansrekeningen en zijn bedoeld voor de verloopoverzichten, die afhankelijk van de omvang van de rechtspersoon in de inrichtings- c.q. publicatiejaarrekening moeten worden opgenomen in de toelichting.</w:t>
      </w:r>
    </w:p>
    <w:p w:rsidR="00224E25" w:rsidRDefault="00224E25">
      <w:r>
        <w:t>Voor RGS 1.1 betekende dit twee wijzigingen:</w:t>
      </w:r>
    </w:p>
    <w:p w:rsidR="00224E25" w:rsidRDefault="00224E25" w:rsidP="00224E25">
      <w:pPr>
        <w:pStyle w:val="Lijstalinea"/>
        <w:numPr>
          <w:ilvl w:val="0"/>
          <w:numId w:val="4"/>
        </w:numPr>
      </w:pPr>
      <w:r>
        <w:t>Introductie van de mutatiecode Beginbalans (alle referentiecodes eindigend op “</w:t>
      </w:r>
      <w:proofErr w:type="spellStart"/>
      <w:r>
        <w:t>Beg</w:t>
      </w:r>
      <w:proofErr w:type="spellEnd"/>
      <w:r>
        <w:t>”)</w:t>
      </w:r>
    </w:p>
    <w:p w:rsidR="00224E25" w:rsidRDefault="00224E25" w:rsidP="00224E25">
      <w:pPr>
        <w:pStyle w:val="Lijstalinea"/>
        <w:numPr>
          <w:ilvl w:val="0"/>
          <w:numId w:val="4"/>
        </w:numPr>
      </w:pPr>
      <w:r>
        <w:t>In de 7- en 8 rubriek herhalen van rubrieken op rekeningniveau, zodat onder iedere rubriek tenminste één rekening hangt, waarop kan worden geboekt.</w:t>
      </w:r>
    </w:p>
    <w:p w:rsidR="00D81893" w:rsidRPr="002125D2" w:rsidRDefault="002125D2">
      <w:pPr>
        <w:rPr>
          <w:b/>
        </w:rPr>
      </w:pPr>
      <w:r w:rsidRPr="002125D2">
        <w:t xml:space="preserve">In een tussenversie van RGS was </w:t>
      </w:r>
      <w:r>
        <w:t>het referentienummer van de beginbalans gelijk aan het grootboeknummer maar gezien alle reacties is er voor een andere systematiek voor het referentienummer gekozen.</w:t>
      </w:r>
      <w:r w:rsidR="00D81893" w:rsidRPr="002125D2">
        <w:rPr>
          <w:b/>
        </w:rPr>
        <w:br w:type="page"/>
      </w:r>
    </w:p>
    <w:p w:rsidR="00D81893" w:rsidRDefault="00D81893" w:rsidP="00224E25">
      <w:pPr>
        <w:rPr>
          <w:b/>
        </w:rPr>
      </w:pPr>
      <w:r>
        <w:rPr>
          <w:b/>
        </w:rPr>
        <w:lastRenderedPageBreak/>
        <w:t>Het Referentienummer</w:t>
      </w:r>
    </w:p>
    <w:p w:rsidR="00D81893" w:rsidRDefault="00D81893" w:rsidP="00224E25">
      <w:r>
        <w:t>Er zijn veel vragen gesteld over het referentienummer, met name over de lengte en het doornummeren hiervan. Het referentienummer is ingekort tot zeven posities en bestaat uit een logische doornummering (beginnend bij 01). De onderverdeling is als volgt:</w:t>
      </w:r>
    </w:p>
    <w:p w:rsidR="00D81893" w:rsidRDefault="00D81893" w:rsidP="00D81893">
      <w:pPr>
        <w:pStyle w:val="Lijstalinea"/>
        <w:numPr>
          <w:ilvl w:val="0"/>
          <w:numId w:val="5"/>
        </w:numPr>
      </w:pPr>
      <w:r>
        <w:t>Positie 1 en 2: Hoofdrubriek (01 – 99)</w:t>
      </w:r>
    </w:p>
    <w:p w:rsidR="00D81893" w:rsidRDefault="00D81893" w:rsidP="00D81893">
      <w:pPr>
        <w:pStyle w:val="Lijstalinea"/>
        <w:numPr>
          <w:ilvl w:val="0"/>
          <w:numId w:val="5"/>
        </w:numPr>
      </w:pPr>
      <w:r>
        <w:t>Positie 3 en 4: Rubriek (01</w:t>
      </w:r>
      <w:r w:rsidR="002125D2">
        <w:t xml:space="preserve"> –  </w:t>
      </w:r>
      <w:r>
        <w:t>99)</w:t>
      </w:r>
    </w:p>
    <w:p w:rsidR="00D81893" w:rsidRDefault="00D81893" w:rsidP="00D81893">
      <w:pPr>
        <w:pStyle w:val="Lijstalinea"/>
        <w:numPr>
          <w:ilvl w:val="0"/>
          <w:numId w:val="5"/>
        </w:numPr>
      </w:pPr>
      <w:r>
        <w:t>Positie 5 en 6: Grootboekrekening (01</w:t>
      </w:r>
      <w:r w:rsidR="002125D2">
        <w:t xml:space="preserve"> –  </w:t>
      </w:r>
      <w:r>
        <w:t>99)</w:t>
      </w:r>
    </w:p>
    <w:p w:rsidR="00D81893" w:rsidRDefault="00D81893" w:rsidP="00D81893">
      <w:pPr>
        <w:pStyle w:val="Lijstalinea"/>
        <w:numPr>
          <w:ilvl w:val="0"/>
          <w:numId w:val="5"/>
        </w:numPr>
      </w:pPr>
      <w:r>
        <w:t>Positie 7: Extensiecode</w:t>
      </w:r>
      <w:r w:rsidR="002125D2">
        <w:t xml:space="preserve"> (0 –  </w:t>
      </w:r>
      <w:r>
        <w:t>9)</w:t>
      </w:r>
    </w:p>
    <w:p w:rsidR="002125D2" w:rsidRDefault="00D81893" w:rsidP="00D81893">
      <w:r>
        <w:t>Mutaties worden eveneens genummerd van 01 –</w:t>
      </w:r>
      <w:r w:rsidR="002125D2">
        <w:t xml:space="preserve"> 99, maar worden in het referentie nummer achter de “.” Gezet. Dit sluit aan bij de systematiek van verschillende rapportgeneratoren die splitscodes eveneens op die manier achter de punt zetten.</w:t>
      </w:r>
    </w:p>
    <w:p w:rsidR="00811E38" w:rsidRDefault="002125D2" w:rsidP="00D81893">
      <w:r>
        <w:t xml:space="preserve">Hoofdrubrieken en rubrieken worden achter hun nummer voorzien van nullen zodat alle nummers uit zeven posities bestaan. </w:t>
      </w:r>
      <w:r w:rsidR="00224E25">
        <w:br/>
      </w:r>
    </w:p>
    <w:p w:rsidR="00075FDA" w:rsidRPr="00811E38" w:rsidRDefault="00075FDA" w:rsidP="00D81893">
      <w:r w:rsidRPr="00075FDA">
        <w:rPr>
          <w:b/>
        </w:rPr>
        <w:t>Extensies</w:t>
      </w:r>
    </w:p>
    <w:p w:rsidR="00075FDA" w:rsidRDefault="00075FDA" w:rsidP="00D81893">
      <w:r>
        <w:t xml:space="preserve">In RGS zijn alle rekeningen systematisch doorgenummerd (met uitzondering van de doorbrekende kosten die op 99 eindigen), maar we blijven benadrukken dat het een voorbeeldnummering is, waarvan in de praktijk mag worden afgeweken. Als bepaalde rekeningen meerdere keren voor komen kan worden gewerkt met extensies. De referentiecode wordt dan voorzien van een “.”.  Achter die punt kunnen eigen referentiecodes worden gehanteerd, bijv. IBAN of BSN nummers, voorraadcodes etc. De referentiecode voor de punt wordt voor iedere soortgelijke </w:t>
      </w:r>
      <w:proofErr w:type="spellStart"/>
      <w:r>
        <w:t>grootboek-rekening</w:t>
      </w:r>
      <w:proofErr w:type="spellEnd"/>
      <w:r w:rsidR="003C0036">
        <w:t xml:space="preserve"> </w:t>
      </w:r>
      <w:r>
        <w:t>herhaald</w:t>
      </w:r>
      <w:r w:rsidR="003C0036">
        <w:t>.</w:t>
      </w:r>
    </w:p>
    <w:p w:rsidR="003C0036" w:rsidRDefault="003C0036" w:rsidP="00D81893">
      <w:r>
        <w:t xml:space="preserve">Voor wat betreft het </w:t>
      </w:r>
      <w:r w:rsidR="00417EDD">
        <w:t xml:space="preserve">toepassen van het </w:t>
      </w:r>
      <w:r>
        <w:t>referentienummer zijn er twee mogelijkheden:</w:t>
      </w:r>
    </w:p>
    <w:p w:rsidR="003C0036" w:rsidRDefault="003C0036" w:rsidP="003C0036">
      <w:pPr>
        <w:pStyle w:val="Lijstalinea"/>
        <w:numPr>
          <w:ilvl w:val="0"/>
          <w:numId w:val="6"/>
        </w:numPr>
      </w:pPr>
      <w:r>
        <w:t>óf men past de nummering geheel naar eigen believen aan en gebruikt de laatste positie om het type extensie aan te duiden:</w:t>
      </w:r>
    </w:p>
    <w:p w:rsidR="003C0036" w:rsidRDefault="003C0036" w:rsidP="003C0036">
      <w:pPr>
        <w:pStyle w:val="Lijstalinea"/>
        <w:numPr>
          <w:ilvl w:val="1"/>
          <w:numId w:val="6"/>
        </w:numPr>
      </w:pPr>
      <w:r>
        <w:t>0 voor RGS</w:t>
      </w:r>
    </w:p>
    <w:p w:rsidR="003C0036" w:rsidRDefault="003C0036" w:rsidP="003C0036">
      <w:pPr>
        <w:pStyle w:val="Lijstalinea"/>
        <w:numPr>
          <w:ilvl w:val="1"/>
          <w:numId w:val="6"/>
        </w:numPr>
      </w:pPr>
      <w:r>
        <w:t>1 fiscaal</w:t>
      </w:r>
    </w:p>
    <w:p w:rsidR="003C0036" w:rsidRDefault="003C0036" w:rsidP="003C0036">
      <w:pPr>
        <w:pStyle w:val="Lijstalinea"/>
        <w:numPr>
          <w:ilvl w:val="1"/>
          <w:numId w:val="6"/>
        </w:numPr>
      </w:pPr>
      <w:r>
        <w:t>2 branche</w:t>
      </w:r>
    </w:p>
    <w:p w:rsidR="003C0036" w:rsidRDefault="003C0036" w:rsidP="003C0036">
      <w:pPr>
        <w:pStyle w:val="Lijstalinea"/>
        <w:numPr>
          <w:ilvl w:val="1"/>
          <w:numId w:val="6"/>
        </w:numPr>
      </w:pPr>
      <w:r>
        <w:t>3 concern</w:t>
      </w:r>
    </w:p>
    <w:p w:rsidR="003C0036" w:rsidRDefault="003C0036" w:rsidP="003C0036">
      <w:pPr>
        <w:pStyle w:val="Lijstalinea"/>
        <w:numPr>
          <w:ilvl w:val="1"/>
          <w:numId w:val="6"/>
        </w:numPr>
      </w:pPr>
      <w:r>
        <w:t>4 werkmaatschappij</w:t>
      </w:r>
    </w:p>
    <w:p w:rsidR="003C0036" w:rsidRDefault="003C0036" w:rsidP="003C0036">
      <w:pPr>
        <w:pStyle w:val="Lijstalinea"/>
        <w:numPr>
          <w:ilvl w:val="1"/>
          <w:numId w:val="6"/>
        </w:numPr>
      </w:pPr>
      <w:r>
        <w:t xml:space="preserve">5 </w:t>
      </w:r>
      <w:proofErr w:type="spellStart"/>
      <w:r>
        <w:t>etc</w:t>
      </w:r>
      <w:proofErr w:type="spellEnd"/>
      <w:r>
        <w:t>…</w:t>
      </w:r>
    </w:p>
    <w:p w:rsidR="003C0036" w:rsidRDefault="003C0036" w:rsidP="003C0036">
      <w:pPr>
        <w:pStyle w:val="Lijstalinea"/>
        <w:numPr>
          <w:ilvl w:val="0"/>
          <w:numId w:val="6"/>
        </w:numPr>
      </w:pPr>
      <w:r>
        <w:t>óf men gebruikt de laatste positie voor het doornummeren, te beginnen met 1; indien er op een of meer rekeningen meer dan 9 extensies kunnen voorkomen dient men in dat geval het aantal posities van het referentienummer uit te breiden naar acht posities.</w:t>
      </w:r>
    </w:p>
    <w:p w:rsidR="003C0036" w:rsidRDefault="0069606E" w:rsidP="003C0036">
      <w:r>
        <w:t>Op die manier werkt de “.” Dus voor identificatie van objecten waarvoor een grootboekrekening moet worden aangelegd. Het gebruik van de “:” voor de codificatie (verwijzing naar wetgeving) zijn wij in de praktijk nog niet tegengekomen.</w:t>
      </w:r>
    </w:p>
    <w:p w:rsidR="0069606E" w:rsidRPr="00417EDD" w:rsidRDefault="00417EDD">
      <w:pPr>
        <w:rPr>
          <w:b/>
        </w:rPr>
      </w:pPr>
      <w:r w:rsidRPr="00417EDD">
        <w:t>Hoewel wij blijven benadrukken</w:t>
      </w:r>
      <w:r>
        <w:t xml:space="preserve"> dat het referentiegrootboekschema met name gericht is op het werken met de referentiecodes, is de hiervoor geschetste tweede methode een goede opstap voor hen die RGS toch meer als een standaardrekeningschema willen zien. Desgewenst kunnen beide methoden ook worden gecombineerd, maar dit laten wij verder over aan de softwareleveranciers. </w:t>
      </w:r>
      <w:r w:rsidR="0069606E" w:rsidRPr="00417EDD">
        <w:rPr>
          <w:b/>
        </w:rPr>
        <w:br w:type="page"/>
      </w:r>
    </w:p>
    <w:p w:rsidR="0069606E" w:rsidRPr="0069606E" w:rsidRDefault="0069606E" w:rsidP="003C0036">
      <w:pPr>
        <w:rPr>
          <w:b/>
        </w:rPr>
      </w:pPr>
      <w:r w:rsidRPr="0069606E">
        <w:rPr>
          <w:b/>
        </w:rPr>
        <w:lastRenderedPageBreak/>
        <w:t>Overige wijzigingen en het wijzigingsdocument</w:t>
      </w:r>
    </w:p>
    <w:p w:rsidR="00ED0612" w:rsidRDefault="0069606E" w:rsidP="00417EDD">
      <w:r>
        <w:t xml:space="preserve">De </w:t>
      </w:r>
      <w:r w:rsidR="00417EDD">
        <w:t>overige wijzigingen hebben betrekking op het toevoegen van een aantal rekeningen die in het verleden bestonden (bijv. preferente en prioriteitsaandelen) en de wijzigingen in de werkkosten</w:t>
      </w:r>
      <w:r w:rsidR="00C022EA">
        <w:t>-</w:t>
      </w:r>
      <w:r w:rsidR="00417EDD">
        <w:t xml:space="preserve">regeling. </w:t>
      </w:r>
      <w:r w:rsidR="00811E38">
        <w:t>Bij de deelnemingen in overige verbonden maatschappijen kan nu onderscheid worden gemaakt tussen boeking op kostprijs of tegen nettovermogenswaarde.</w:t>
      </w:r>
      <w:r w:rsidR="00C022EA">
        <w:t xml:space="preserve"> Op verzoek van een aantal softwareleveranciers is ook het karakter van de rekening “D” of “C” als voorstel opgenomen.</w:t>
      </w:r>
      <w:r w:rsidR="00C022EA">
        <w:br/>
      </w:r>
    </w:p>
    <w:p w:rsidR="00811E38" w:rsidRDefault="00811E38" w:rsidP="00417EDD">
      <w:r>
        <w:t>In het wijzigingsdocument is RGS 1.0 naast RGS 1.1 gezet. Daarachter is in verschillende kolommen de aard van de wijziging aangegeven. Allereerst of het een nieuw element is of vervallen (meestal betrof dit een verschuiving en is het op een andere plaats weer als nieuw element toegevoegd) en vervolgens nog of het een wijziging van referentiecode, -nummer (dit keer alle nummers) of omslagcode betrof.</w:t>
      </w:r>
    </w:p>
    <w:p w:rsidR="00663FD4" w:rsidRDefault="00663FD4" w:rsidP="0084690B">
      <w:pPr>
        <w:rPr>
          <w:b/>
        </w:rPr>
      </w:pPr>
    </w:p>
    <w:p w:rsidR="0084690B" w:rsidRDefault="0084690B" w:rsidP="0084690B">
      <w:r>
        <w:t>Nieuwegein, 18 december</w:t>
      </w:r>
    </w:p>
    <w:p w:rsidR="0084690B" w:rsidRDefault="0084690B" w:rsidP="0084690B">
      <w:r>
        <w:t>JHG Kinds RA</w:t>
      </w:r>
    </w:p>
    <w:p w:rsidR="001251C0" w:rsidRDefault="001251C0" w:rsidP="0084690B"/>
    <w:p w:rsidR="001251C0" w:rsidRDefault="001251C0" w:rsidP="0084690B">
      <w:r w:rsidRPr="001251C0">
        <w:rPr>
          <w:b/>
        </w:rPr>
        <w:t xml:space="preserve">Aanvulling: wijzigingen </w:t>
      </w:r>
      <w:r>
        <w:rPr>
          <w:b/>
        </w:rPr>
        <w:t xml:space="preserve">in versie 1.1 </w:t>
      </w:r>
      <w:r w:rsidRPr="001251C0">
        <w:rPr>
          <w:b/>
        </w:rPr>
        <w:t>na 2</w:t>
      </w:r>
      <w:r w:rsidRPr="001251C0">
        <w:rPr>
          <w:b/>
          <w:vertAlign w:val="superscript"/>
        </w:rPr>
        <w:t>e</w:t>
      </w:r>
      <w:r w:rsidRPr="001251C0">
        <w:rPr>
          <w:b/>
        </w:rPr>
        <w:t xml:space="preserve"> consultatieronde</w:t>
      </w:r>
      <w:r>
        <w:rPr>
          <w:b/>
        </w:rPr>
        <w:t xml:space="preserve"> (29 januari 2015)</w:t>
      </w:r>
    </w:p>
    <w:p w:rsidR="001251C0" w:rsidRPr="003E2B55" w:rsidRDefault="001251C0" w:rsidP="001251C0">
      <w:pPr>
        <w:pStyle w:val="Lijstalinea"/>
        <w:numPr>
          <w:ilvl w:val="0"/>
          <w:numId w:val="9"/>
        </w:numPr>
        <w:spacing w:after="200" w:line="276" w:lineRule="auto"/>
        <w:rPr>
          <w:b/>
        </w:rPr>
      </w:pPr>
      <w:r>
        <w:t xml:space="preserve">Toevoegen van rekeningen </w:t>
      </w:r>
      <w:proofErr w:type="spellStart"/>
      <w:r>
        <w:t>WOmzNopNon</w:t>
      </w:r>
      <w:proofErr w:type="spellEnd"/>
      <w:r>
        <w:t xml:space="preserve">, </w:t>
      </w:r>
      <w:proofErr w:type="spellStart"/>
      <w:r>
        <w:t>WOmzNohNon</w:t>
      </w:r>
      <w:proofErr w:type="spellEnd"/>
      <w:r>
        <w:t xml:space="preserve">, </w:t>
      </w:r>
      <w:proofErr w:type="spellStart"/>
      <w:r>
        <w:t>WOmzNodNon</w:t>
      </w:r>
      <w:proofErr w:type="spellEnd"/>
      <w:r>
        <w:t xml:space="preserve"> en </w:t>
      </w:r>
      <w:proofErr w:type="spellStart"/>
      <w:r>
        <w:t>WOmzNooNon</w:t>
      </w:r>
      <w:proofErr w:type="spellEnd"/>
      <w:r>
        <w:t xml:space="preserve"> ten behoeve van het overboeken naar andere rubrieken</w:t>
      </w:r>
    </w:p>
    <w:p w:rsidR="001251C0" w:rsidRPr="003E2B55" w:rsidRDefault="001251C0" w:rsidP="001251C0">
      <w:pPr>
        <w:pStyle w:val="Lijstalinea"/>
        <w:numPr>
          <w:ilvl w:val="0"/>
          <w:numId w:val="9"/>
        </w:numPr>
        <w:spacing w:after="200" w:line="276" w:lineRule="auto"/>
        <w:rPr>
          <w:b/>
        </w:rPr>
      </w:pPr>
      <w:r>
        <w:t xml:space="preserve">De systematiek van de rekeningnummers  in de hoofdrubriek </w:t>
      </w:r>
      <w:proofErr w:type="spellStart"/>
      <w:r>
        <w:t>WOmz</w:t>
      </w:r>
      <w:proofErr w:type="spellEnd"/>
      <w:r>
        <w:t xml:space="preserve"> is teruggebracht naar 7 posities conform de systematiek van de rest van het RGS</w:t>
      </w:r>
    </w:p>
    <w:p w:rsidR="001251C0" w:rsidRPr="00FC2B6C" w:rsidRDefault="001251C0" w:rsidP="001251C0">
      <w:pPr>
        <w:pStyle w:val="Lijstalinea"/>
        <w:numPr>
          <w:ilvl w:val="0"/>
          <w:numId w:val="9"/>
        </w:numPr>
        <w:spacing w:after="200" w:line="276" w:lineRule="auto"/>
        <w:rPr>
          <w:b/>
        </w:rPr>
      </w:pPr>
      <w:r>
        <w:t xml:space="preserve">De rekeningnummers  van de rubrieken </w:t>
      </w:r>
      <w:proofErr w:type="spellStart"/>
      <w:r>
        <w:t>WOmzOit</w:t>
      </w:r>
      <w:proofErr w:type="spellEnd"/>
      <w:r>
        <w:t xml:space="preserve"> en </w:t>
      </w:r>
      <w:proofErr w:type="spellStart"/>
      <w:r>
        <w:t>WOmzKeb</w:t>
      </w:r>
      <w:proofErr w:type="spellEnd"/>
      <w:r>
        <w:t xml:space="preserve"> zijn aangepast om de nummering te ontdubbelen</w:t>
      </w:r>
    </w:p>
    <w:p w:rsidR="001251C0" w:rsidRPr="00856A4D" w:rsidRDefault="001251C0" w:rsidP="001251C0">
      <w:pPr>
        <w:pStyle w:val="Lijstalinea"/>
        <w:numPr>
          <w:ilvl w:val="0"/>
          <w:numId w:val="9"/>
        </w:numPr>
        <w:spacing w:after="200" w:line="276" w:lineRule="auto"/>
        <w:rPr>
          <w:b/>
        </w:rPr>
      </w:pPr>
      <w:r>
        <w:t xml:space="preserve">De omschrijving van </w:t>
      </w:r>
      <w:proofErr w:type="spellStart"/>
      <w:r>
        <w:t>BSchSalTvg</w:t>
      </w:r>
      <w:proofErr w:type="spellEnd"/>
      <w:r>
        <w:t xml:space="preserve"> is veranderd in ‘te betalen vakantiebijslag’ in plaats van ‘vakantiegeld’ </w:t>
      </w:r>
    </w:p>
    <w:p w:rsidR="001251C0" w:rsidRPr="00856A4D" w:rsidRDefault="001251C0" w:rsidP="001251C0">
      <w:pPr>
        <w:pStyle w:val="Lijstalinea"/>
        <w:numPr>
          <w:ilvl w:val="0"/>
          <w:numId w:val="9"/>
        </w:numPr>
        <w:spacing w:after="200" w:line="276" w:lineRule="auto"/>
        <w:rPr>
          <w:b/>
        </w:rPr>
      </w:pPr>
      <w:r>
        <w:t xml:space="preserve">De omschrijving van </w:t>
      </w:r>
      <w:proofErr w:type="spellStart"/>
      <w:r>
        <w:t>WPerLesVag</w:t>
      </w:r>
      <w:proofErr w:type="spellEnd"/>
      <w:r>
        <w:t xml:space="preserve"> is veranderd in ‘vakantiebijslag’ in plaats van ‘vakantiegeld’</w:t>
      </w:r>
    </w:p>
    <w:p w:rsidR="001251C0" w:rsidRPr="00856A4D" w:rsidRDefault="001251C0" w:rsidP="001251C0">
      <w:pPr>
        <w:pStyle w:val="Lijstalinea"/>
        <w:numPr>
          <w:ilvl w:val="0"/>
          <w:numId w:val="9"/>
        </w:numPr>
        <w:spacing w:after="200" w:line="276" w:lineRule="auto"/>
        <w:rPr>
          <w:b/>
        </w:rPr>
      </w:pPr>
      <w:r>
        <w:t xml:space="preserve">De omschrijving van </w:t>
      </w:r>
      <w:proofErr w:type="spellStart"/>
      <w:r>
        <w:t>BSchSalNab</w:t>
      </w:r>
      <w:proofErr w:type="spellEnd"/>
      <w:r>
        <w:t xml:space="preserve"> is veranderd in ‘bruto lonen en salarissen’ in plaats van ‘nabetalingen’ en de bijbehorende referentiecode is nu </w:t>
      </w:r>
      <w:proofErr w:type="spellStart"/>
      <w:r>
        <w:t>BSchSalBls</w:t>
      </w:r>
      <w:proofErr w:type="spellEnd"/>
    </w:p>
    <w:p w:rsidR="001251C0" w:rsidRPr="00CF7B3D" w:rsidRDefault="001251C0" w:rsidP="001251C0">
      <w:pPr>
        <w:pStyle w:val="Lijstalinea"/>
        <w:numPr>
          <w:ilvl w:val="0"/>
          <w:numId w:val="9"/>
        </w:numPr>
        <w:spacing w:after="200" w:line="276" w:lineRule="auto"/>
        <w:rPr>
          <w:b/>
        </w:rPr>
      </w:pPr>
      <w:r>
        <w:t xml:space="preserve">De omschrijving van </w:t>
      </w:r>
      <w:proofErr w:type="spellStart"/>
      <w:r>
        <w:t>BSchSalTbv</w:t>
      </w:r>
      <w:proofErr w:type="spellEnd"/>
      <w:r>
        <w:t xml:space="preserve"> is veranderd in ‘reservering vakantiedagen’ in plaats van ‘te betalen vakantiedagen’</w:t>
      </w:r>
    </w:p>
    <w:p w:rsidR="001251C0" w:rsidRPr="00B44F73" w:rsidRDefault="001251C0" w:rsidP="001251C0">
      <w:pPr>
        <w:pStyle w:val="Lijstalinea"/>
        <w:numPr>
          <w:ilvl w:val="0"/>
          <w:numId w:val="9"/>
        </w:numPr>
        <w:spacing w:after="200" w:line="276" w:lineRule="auto"/>
        <w:rPr>
          <w:b/>
        </w:rPr>
      </w:pPr>
      <w:r>
        <w:t xml:space="preserve">In plaats van </w:t>
      </w:r>
      <w:proofErr w:type="spellStart"/>
      <w:r>
        <w:t>WBedVkkKmv</w:t>
      </w:r>
      <w:proofErr w:type="spellEnd"/>
      <w:r>
        <w:t xml:space="preserve"> (km-vergoeding) worden nu twee rekening onderscheiden: </w:t>
      </w:r>
      <w:proofErr w:type="spellStart"/>
      <w:r>
        <w:t>WBedVkkKmz</w:t>
      </w:r>
      <w:proofErr w:type="spellEnd"/>
      <w:r>
        <w:t xml:space="preserve"> (kilometervergoeding zakelijke reizen ) en </w:t>
      </w:r>
      <w:proofErr w:type="spellStart"/>
      <w:r>
        <w:t>WBedVkkKmw</w:t>
      </w:r>
      <w:proofErr w:type="spellEnd"/>
      <w:r>
        <w:t xml:space="preserve"> (kilometervergoeding woon-werkverkeer)</w:t>
      </w:r>
    </w:p>
    <w:p w:rsidR="001251C0" w:rsidRPr="00CF7B3D" w:rsidRDefault="001251C0" w:rsidP="001251C0">
      <w:pPr>
        <w:pStyle w:val="Lijstalinea"/>
        <w:numPr>
          <w:ilvl w:val="0"/>
          <w:numId w:val="9"/>
        </w:numPr>
        <w:spacing w:after="200" w:line="276" w:lineRule="auto"/>
        <w:rPr>
          <w:b/>
        </w:rPr>
      </w:pPr>
      <w:proofErr w:type="spellStart"/>
      <w:r>
        <w:t>WPerLesSal</w:t>
      </w:r>
      <w:proofErr w:type="spellEnd"/>
      <w:r>
        <w:t xml:space="preserve"> (salarissen) is verwijderd, </w:t>
      </w:r>
      <w:proofErr w:type="spellStart"/>
      <w:r>
        <w:t>WPerLesLon</w:t>
      </w:r>
      <w:proofErr w:type="spellEnd"/>
      <w:r>
        <w:t xml:space="preserve"> (lonen) blijft staan. Het onderscheid tussen lonen en salarissen  wordt in Nederland niet meer gemaakt; de rekening </w:t>
      </w:r>
      <w:proofErr w:type="spellStart"/>
      <w:r>
        <w:t>Sal</w:t>
      </w:r>
      <w:proofErr w:type="spellEnd"/>
      <w:r>
        <w:t xml:space="preserve"> komt daarmee niet meer voor en is verwijderd in het tabblad met het overzicht van alle onderscheiden rekeningen</w:t>
      </w:r>
    </w:p>
    <w:p w:rsidR="001251C0" w:rsidRPr="00CF7B3D" w:rsidRDefault="001251C0" w:rsidP="001251C0">
      <w:pPr>
        <w:pStyle w:val="Lijstalinea"/>
        <w:numPr>
          <w:ilvl w:val="0"/>
          <w:numId w:val="9"/>
        </w:numPr>
        <w:spacing w:after="200" w:line="276" w:lineRule="auto"/>
        <w:rPr>
          <w:b/>
        </w:rPr>
      </w:pPr>
      <w:proofErr w:type="spellStart"/>
      <w:r>
        <w:t>WPerLesOht</w:t>
      </w:r>
      <w:proofErr w:type="spellEnd"/>
      <w:r>
        <w:t xml:space="preserve"> (overhevelingstoeslag) is verwijderd; de rekening </w:t>
      </w:r>
      <w:proofErr w:type="spellStart"/>
      <w:r>
        <w:t>Oht</w:t>
      </w:r>
      <w:proofErr w:type="spellEnd"/>
      <w:r>
        <w:t xml:space="preserve"> komt daarmee niet meer voor en is verwijderd in het tabblad met het overzicht van de onderscheiden rekeningen </w:t>
      </w:r>
    </w:p>
    <w:p w:rsidR="001251C0" w:rsidRPr="000739BD" w:rsidRDefault="001251C0" w:rsidP="001251C0">
      <w:pPr>
        <w:pStyle w:val="Lijstalinea"/>
        <w:numPr>
          <w:ilvl w:val="0"/>
          <w:numId w:val="9"/>
        </w:numPr>
        <w:spacing w:after="200" w:line="276" w:lineRule="auto"/>
        <w:rPr>
          <w:b/>
        </w:rPr>
      </w:pPr>
      <w:r>
        <w:t xml:space="preserve">De omschrijving van </w:t>
      </w:r>
      <w:proofErr w:type="spellStart"/>
      <w:r>
        <w:t>WPerLesTls</w:t>
      </w:r>
      <w:proofErr w:type="spellEnd"/>
      <w:r>
        <w:t xml:space="preserve"> is veranderd in ‘eindheffing spaarloon’ in plaats van ‘toeslag loonheffing spaarloon’ en deze omschrijving is ook aangepast in het overzicht van de onderscheiden rekeningen;  hoewel de spaarloonregeling per 2012 is afgeschaft,  is deze </w:t>
      </w:r>
      <w:r>
        <w:lastRenderedPageBreak/>
        <w:t>variabele is nog niet verjaard omdat er over de jaren 2010, 2011 en 2012 nog correctieberichten binnen kunnen komen</w:t>
      </w:r>
    </w:p>
    <w:p w:rsidR="001251C0" w:rsidRPr="00632CBB" w:rsidRDefault="001251C0" w:rsidP="001251C0">
      <w:pPr>
        <w:pStyle w:val="Lijstalinea"/>
        <w:numPr>
          <w:ilvl w:val="0"/>
          <w:numId w:val="9"/>
        </w:numPr>
        <w:spacing w:after="200" w:line="276" w:lineRule="auto"/>
        <w:rPr>
          <w:b/>
        </w:rPr>
      </w:pPr>
      <w:r>
        <w:t xml:space="preserve">De rekeningnummers in de rubriek </w:t>
      </w:r>
      <w:proofErr w:type="spellStart"/>
      <w:r>
        <w:t>WPerLes</w:t>
      </w:r>
      <w:proofErr w:type="spellEnd"/>
      <w:r>
        <w:t xml:space="preserve"> zijn aangepast gegeven de bovenstaande aanpassingen</w:t>
      </w:r>
    </w:p>
    <w:p w:rsidR="001251C0" w:rsidRPr="000739BD" w:rsidRDefault="001251C0" w:rsidP="001251C0">
      <w:pPr>
        <w:pStyle w:val="Lijstalinea"/>
        <w:numPr>
          <w:ilvl w:val="0"/>
          <w:numId w:val="9"/>
        </w:numPr>
        <w:spacing w:after="200" w:line="276" w:lineRule="auto"/>
        <w:rPr>
          <w:b/>
        </w:rPr>
      </w:pPr>
      <w:r>
        <w:t xml:space="preserve">De eindheffing WKR is toegevoegd onder de referentiecode </w:t>
      </w:r>
      <w:proofErr w:type="spellStart"/>
      <w:r>
        <w:t>WPerWkoWee</w:t>
      </w:r>
      <w:proofErr w:type="spellEnd"/>
      <w:r>
        <w:t xml:space="preserve"> 4011010 Werkkosten eindheffing; de rekening is toegevoegd in het overzicht van de rekeningen en de referentienummers in de rubriek </w:t>
      </w:r>
      <w:proofErr w:type="spellStart"/>
      <w:r>
        <w:t>WPerWko</w:t>
      </w:r>
      <w:proofErr w:type="spellEnd"/>
      <w:r>
        <w:t xml:space="preserve"> zijn aangepast</w:t>
      </w:r>
    </w:p>
    <w:p w:rsidR="001251C0" w:rsidRDefault="001251C0" w:rsidP="001251C0">
      <w:pPr>
        <w:ind w:left="360"/>
      </w:pPr>
      <w:r>
        <w:t>De bovenstaande wijzigingen zijn ook doorgevoerd in de tabbladen RGS 1.0-1.1, rekeningen en rubrieken en waar nodig ook in de 2</w:t>
      </w:r>
      <w:r w:rsidRPr="00A54966">
        <w:rPr>
          <w:vertAlign w:val="superscript"/>
        </w:rPr>
        <w:t>e</w:t>
      </w:r>
      <w:r>
        <w:t xml:space="preserve"> </w:t>
      </w:r>
      <w:proofErr w:type="spellStart"/>
      <w:r>
        <w:t>mappings</w:t>
      </w:r>
      <w:proofErr w:type="spellEnd"/>
      <w:r>
        <w:t>. Het tabblad RGS 1.0-1.1 is bijgewerkt met de kolommen E, J en Q.</w:t>
      </w:r>
    </w:p>
    <w:p w:rsidR="00C44C21" w:rsidRDefault="00C44C21" w:rsidP="001251C0">
      <w:pPr>
        <w:ind w:left="360"/>
      </w:pPr>
    </w:p>
    <w:p w:rsidR="00C44C21" w:rsidRDefault="00C44C21" w:rsidP="001251C0">
      <w:pPr>
        <w:ind w:left="360"/>
      </w:pPr>
      <w:r>
        <w:rPr>
          <w:rFonts w:eastAsia="Times New Roman"/>
          <w:b/>
          <w:bCs/>
        </w:rPr>
        <w:t>Het tot stand komen van RGS 1.1</w:t>
      </w:r>
      <w:r>
        <w:rPr>
          <w:rFonts w:eastAsia="Times New Roman"/>
        </w:rPr>
        <w:br/>
        <w:t> </w:t>
      </w:r>
      <w:r>
        <w:rPr>
          <w:rFonts w:eastAsia="Times New Roman"/>
        </w:rPr>
        <w:br/>
        <w:t>Na de presentatie van RGS 1.0 op 27 mei jl. zijn er tijdens de daaropvolgende consultatieperiode diverse reacties op versie 1.0 ontvangen, waarvoor onze hartelijke dank. Deze reacties zijn voorgelegd aan het breed expertoverleg RGS. De geaccordeerde voorstellen zijn vervolgens verwerkt, wat heeft geresulteerd in een concept versie RGS 1.1. Tot en met 17 oktober jl. was er gelegenheid om te reageren op deze concept versie. In de periode na oktober zijn de opmerkingen verwerkt. Ook zijn er via de kennisbank goede vragen gesteld over RGS. Omdat hierdoor de aanpassingen ten opzichte van de consultatieversie</w:t>
      </w:r>
      <w:r w:rsidRPr="00C44C21">
        <w:rPr>
          <w:rFonts w:eastAsia="Times New Roman"/>
        </w:rPr>
        <w:t xml:space="preserve"> omvangrijker waren dan eerder verwacht, is besloten om een tweede consultatieversie RGS1.1 met een bijbehorende</w:t>
      </w:r>
      <w:r>
        <w:rPr>
          <w:rFonts w:eastAsia="Times New Roman"/>
        </w:rPr>
        <w:t xml:space="preserve"> toelichting te publiceren. </w:t>
      </w:r>
      <w:r w:rsidRPr="00C44C21">
        <w:rPr>
          <w:rFonts w:eastAsia="Times New Roman"/>
        </w:rPr>
        <w:t>Er was tot 12 januari 2015 g</w:t>
      </w:r>
      <w:r>
        <w:rPr>
          <w:rFonts w:eastAsia="Times New Roman"/>
        </w:rPr>
        <w:t xml:space="preserve">elegenheid om te reageren op deze tweede </w:t>
      </w:r>
      <w:r w:rsidRPr="00C44C21">
        <w:rPr>
          <w:rFonts w:eastAsia="Times New Roman"/>
        </w:rPr>
        <w:t xml:space="preserve">consultatieversie. Op 29 januari is </w:t>
      </w:r>
      <w:hyperlink r:id="rId6" w:history="1">
        <w:r w:rsidR="00DB14ED" w:rsidRPr="00DB14ED">
          <w:rPr>
            <w:rStyle w:val="Hyperlink"/>
            <w:rFonts w:eastAsia="Times New Roman"/>
          </w:rPr>
          <w:t>RGS 1.1</w:t>
        </w:r>
        <w:r w:rsidRPr="00DB14ED">
          <w:rPr>
            <w:rStyle w:val="Hyperlink"/>
            <w:rFonts w:eastAsia="Times New Roman"/>
          </w:rPr>
          <w:t xml:space="preserve"> definitief</w:t>
        </w:r>
      </w:hyperlink>
      <w:r w:rsidRPr="00C44C21">
        <w:rPr>
          <w:rFonts w:eastAsia="Times New Roman"/>
        </w:rPr>
        <w:t xml:space="preserve"> vastgesteld door het breed expertoverleg RGS. Tevens zijn met de tweede consultatie versie van RGS 1.1 voor diverse berichtsoorten</w:t>
      </w:r>
      <w:r>
        <w:rPr>
          <w:rFonts w:eastAsia="Times New Roman"/>
          <w:u w:val="single"/>
        </w:rPr>
        <w:t xml:space="preserve"> </w:t>
      </w:r>
      <w:hyperlink r:id="rId7" w:history="1">
        <w:r w:rsidRPr="00DB14ED">
          <w:rPr>
            <w:rStyle w:val="Hyperlink"/>
            <w:rFonts w:eastAsia="Times New Roman"/>
          </w:rPr>
          <w:t>koppelingen </w:t>
        </w:r>
      </w:hyperlink>
      <w:r>
        <w:rPr>
          <w:rFonts w:eastAsia="Times New Roman"/>
        </w:rPr>
        <w:t xml:space="preserve">gelegd tussen RGS en SBR. Op de RGS kennisbank staat </w:t>
      </w:r>
      <w:r w:rsidRPr="00C44C21">
        <w:rPr>
          <w:rFonts w:eastAsia="Times New Roman"/>
        </w:rPr>
        <w:t xml:space="preserve"> een </w:t>
      </w:r>
      <w:hyperlink r:id="rId8" w:history="1">
        <w:r w:rsidRPr="00DB14ED">
          <w:rPr>
            <w:rStyle w:val="Hyperlink"/>
            <w:rFonts w:eastAsia="Times New Roman"/>
          </w:rPr>
          <w:t>beschrijving</w:t>
        </w:r>
      </w:hyperlink>
      <w:r>
        <w:rPr>
          <w:rFonts w:eastAsia="Times New Roman"/>
        </w:rPr>
        <w:t xml:space="preserve"> van  welke SBR berichtsoorten gekoppeld zijn aan RGS.</w:t>
      </w:r>
      <w:r>
        <w:rPr>
          <w:rFonts w:eastAsia="Times New Roman"/>
        </w:rPr>
        <w:br/>
        <w:t> </w:t>
      </w:r>
      <w:r>
        <w:rPr>
          <w:rFonts w:eastAsia="Times New Roman"/>
        </w:rPr>
        <w:br/>
      </w:r>
      <w:r w:rsidR="00AA1871">
        <w:rPr>
          <w:rFonts w:eastAsia="Times New Roman"/>
        </w:rPr>
        <w:t xml:space="preserve">Verdere wijzigingen </w:t>
      </w:r>
      <w:r w:rsidR="00DB14ED">
        <w:rPr>
          <w:rFonts w:eastAsia="Times New Roman"/>
        </w:rPr>
        <w:t xml:space="preserve">in RGS </w:t>
      </w:r>
      <w:bookmarkStart w:id="0" w:name="_GoBack"/>
      <w:bookmarkEnd w:id="0"/>
      <w:r w:rsidR="00AA1871">
        <w:rPr>
          <w:rFonts w:eastAsia="Times New Roman"/>
        </w:rPr>
        <w:t xml:space="preserve">worden doorgevoerd conform de binnen RGS gemaakte afspraken </w:t>
      </w:r>
      <w:r w:rsidR="00AC3354" w:rsidRPr="00AC3354">
        <w:rPr>
          <w:rFonts w:eastAsia="Times New Roman"/>
        </w:rPr>
        <w:t xml:space="preserve">over het behandelen en verwerken van wijzigingsverzoeken. </w:t>
      </w:r>
      <w:r>
        <w:rPr>
          <w:rFonts w:eastAsia="Times New Roman"/>
        </w:rPr>
        <w:t xml:space="preserve">Het streven is om een nieuwe versie van RGS in het najaar te publiceren, eerst als </w:t>
      </w:r>
      <w:proofErr w:type="spellStart"/>
      <w:r>
        <w:rPr>
          <w:rFonts w:eastAsia="Times New Roman"/>
        </w:rPr>
        <w:t>beta</w:t>
      </w:r>
      <w:proofErr w:type="spellEnd"/>
      <w:r>
        <w:rPr>
          <w:rFonts w:eastAsia="Times New Roman"/>
        </w:rPr>
        <w:t xml:space="preserve">-versie en na een korte consultatie als definitieve versie, in lijn met de jaarlijkse wijzigingen in de Nederlandse Taxonomie (NT) en de Banken Taxonomie (BT). </w:t>
      </w:r>
    </w:p>
    <w:p w:rsidR="001251C0" w:rsidRPr="001251C0" w:rsidRDefault="001251C0" w:rsidP="0084690B"/>
    <w:sectPr w:rsidR="001251C0" w:rsidRPr="00125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55E"/>
    <w:multiLevelType w:val="hybridMultilevel"/>
    <w:tmpl w:val="2D183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6C7B5E"/>
    <w:multiLevelType w:val="hybridMultilevel"/>
    <w:tmpl w:val="12E89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356F12"/>
    <w:multiLevelType w:val="hybridMultilevel"/>
    <w:tmpl w:val="A44A5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984DCB"/>
    <w:multiLevelType w:val="hybridMultilevel"/>
    <w:tmpl w:val="D76CE53E"/>
    <w:lvl w:ilvl="0" w:tplc="9E14E8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4136D18"/>
    <w:multiLevelType w:val="hybridMultilevel"/>
    <w:tmpl w:val="36F0E9CA"/>
    <w:lvl w:ilvl="0" w:tplc="A35ED93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2D6603"/>
    <w:multiLevelType w:val="hybridMultilevel"/>
    <w:tmpl w:val="A1802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DC60AE9"/>
    <w:multiLevelType w:val="hybridMultilevel"/>
    <w:tmpl w:val="64940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3FB49B5"/>
    <w:multiLevelType w:val="hybridMultilevel"/>
    <w:tmpl w:val="D59692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9FF6D0C"/>
    <w:multiLevelType w:val="hybridMultilevel"/>
    <w:tmpl w:val="65002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9"/>
    <w:rsid w:val="00075FDA"/>
    <w:rsid w:val="00083259"/>
    <w:rsid w:val="001251C0"/>
    <w:rsid w:val="002125D2"/>
    <w:rsid w:val="00224E25"/>
    <w:rsid w:val="00256942"/>
    <w:rsid w:val="002942D6"/>
    <w:rsid w:val="003C0036"/>
    <w:rsid w:val="00417EDD"/>
    <w:rsid w:val="00421A74"/>
    <w:rsid w:val="00506EF0"/>
    <w:rsid w:val="00663FD4"/>
    <w:rsid w:val="0069606E"/>
    <w:rsid w:val="0078081A"/>
    <w:rsid w:val="00811E38"/>
    <w:rsid w:val="0084690B"/>
    <w:rsid w:val="008B6154"/>
    <w:rsid w:val="00AA1871"/>
    <w:rsid w:val="00AC3354"/>
    <w:rsid w:val="00AD33C9"/>
    <w:rsid w:val="00C022EA"/>
    <w:rsid w:val="00C44C21"/>
    <w:rsid w:val="00C64331"/>
    <w:rsid w:val="00D27C72"/>
    <w:rsid w:val="00D81893"/>
    <w:rsid w:val="00D83600"/>
    <w:rsid w:val="00DB14ED"/>
    <w:rsid w:val="00ED0612"/>
    <w:rsid w:val="00FC65F6"/>
    <w:rsid w:val="00FF1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4E25"/>
    <w:pPr>
      <w:ind w:left="720"/>
      <w:contextualSpacing/>
    </w:pPr>
  </w:style>
  <w:style w:type="character" w:styleId="Hyperlink">
    <w:name w:val="Hyperlink"/>
    <w:basedOn w:val="Standaardalinea-lettertype"/>
    <w:uiPriority w:val="99"/>
    <w:semiHidden/>
    <w:rsid w:val="00C44C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4E25"/>
    <w:pPr>
      <w:ind w:left="720"/>
      <w:contextualSpacing/>
    </w:pPr>
  </w:style>
  <w:style w:type="character" w:styleId="Hyperlink">
    <w:name w:val="Hyperlink"/>
    <w:basedOn w:val="Standaardalinea-lettertype"/>
    <w:uiPriority w:val="99"/>
    <w:semiHidden/>
    <w:rsid w:val="00C44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55125">
      <w:bodyDiv w:val="1"/>
      <w:marLeft w:val="0"/>
      <w:marRight w:val="0"/>
      <w:marTop w:val="0"/>
      <w:marBottom w:val="0"/>
      <w:divBdr>
        <w:top w:val="none" w:sz="0" w:space="0" w:color="auto"/>
        <w:left w:val="none" w:sz="0" w:space="0" w:color="auto"/>
        <w:bottom w:val="none" w:sz="0" w:space="0" w:color="auto"/>
        <w:right w:val="none" w:sz="0" w:space="0" w:color="auto"/>
      </w:divBdr>
    </w:div>
    <w:div w:id="1685352500">
      <w:bodyDiv w:val="1"/>
      <w:marLeft w:val="0"/>
      <w:marRight w:val="0"/>
      <w:marTop w:val="0"/>
      <w:marBottom w:val="0"/>
      <w:divBdr>
        <w:top w:val="none" w:sz="0" w:space="0" w:color="auto"/>
        <w:left w:val="none" w:sz="0" w:space="0" w:color="auto"/>
        <w:bottom w:val="none" w:sz="0" w:space="0" w:color="auto"/>
        <w:right w:val="none" w:sz="0" w:space="0" w:color="auto"/>
      </w:divBdr>
    </w:div>
    <w:div w:id="19620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erentiegrootboekschema.nl/kbase/index.php?View=entry&amp;EntryID=390" TargetMode="External"/><Relationship Id="rId3" Type="http://schemas.microsoft.com/office/2007/relationships/stylesWithEffects" Target="stylesWithEffects.xml"/><Relationship Id="rId7" Type="http://schemas.openxmlformats.org/officeDocument/2006/relationships/hyperlink" Target="http://referentiegrootboekschema.nl/kbase/index.php?View=download&amp;EntryID=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ferentiegrootboekschema.nl/kbase/index.php?View=download&amp;EntryID=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5F5F98D4.dotm</Template>
  <TotalTime>0</TotalTime>
  <Pages>4</Pages>
  <Words>1642</Words>
  <Characters>9033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Kinds | SRA</dc:creator>
  <cp:lastModifiedBy>Robert Nieuwenhuijs</cp:lastModifiedBy>
  <cp:revision>4</cp:revision>
  <dcterms:created xsi:type="dcterms:W3CDTF">2015-01-29T09:58:00Z</dcterms:created>
  <dcterms:modified xsi:type="dcterms:W3CDTF">2015-01-30T12:05:00Z</dcterms:modified>
</cp:coreProperties>
</file>